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cs="宋体"/>
          <w:b/>
          <w:bCs/>
          <w:color w:val="auto"/>
          <w:sz w:val="32"/>
          <w:szCs w:val="32"/>
          <w:lang w:val="en-US" w:eastAsia="zh-CN"/>
        </w:rPr>
        <w:t>辰溪县</w:t>
      </w:r>
      <w:r>
        <w:rPr>
          <w:rFonts w:ascii="宋体" w:hAnsi="宋体" w:eastAsia="宋体" w:cs="宋体"/>
          <w:b/>
          <w:color w:val="auto"/>
          <w:sz w:val="32"/>
          <w:u w:color="auto"/>
        </w:rPr>
        <w:t>化肥</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717A2E4">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9"/>
        <w:gridCol w:w="3661"/>
        <w:gridCol w:w="1349"/>
        <w:gridCol w:w="1453"/>
        <w:gridCol w:w="1405"/>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9" w:hRule="atLeast"/>
          <w:jc w:val="center"/>
        </w:trPr>
        <w:tc>
          <w:tcPr>
            <w:tcW w:w="32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7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80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6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83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74" w:type="pct"/>
            <w:noWrap w:val="0"/>
            <w:vAlign w:val="center"/>
          </w:tcPr>
          <w:p w14:paraId="590643DF">
            <w:pPr>
              <w:snapToGrid w:val="0"/>
              <w:jc w:val="center"/>
              <w:rPr>
                <w:rFonts w:hint="eastAsia"/>
                <w:color w:val="000000"/>
                <w:szCs w:val="21"/>
              </w:rPr>
            </w:pPr>
            <w:r>
              <w:rPr>
                <w:rFonts w:hint="eastAsia"/>
                <w:color w:val="000000"/>
                <w:szCs w:val="21"/>
                <w:vertAlign w:val="baseline"/>
                <w:lang w:val="en-US" w:eastAsia="zh-CN"/>
              </w:rPr>
              <w:t>复合肥料(GB/T 15063-2020)</w:t>
            </w:r>
          </w:p>
        </w:tc>
        <w:tc>
          <w:tcPr>
            <w:tcW w:w="801" w:type="pct"/>
            <w:noWrap w:val="0"/>
            <w:vAlign w:val="center"/>
          </w:tcPr>
          <w:p w14:paraId="6E0491E8">
            <w:pPr>
              <w:snapToGrid w:val="0"/>
              <w:jc w:val="center"/>
              <w:rPr>
                <w:rFonts w:hint="eastAsia"/>
                <w:color w:val="000000"/>
                <w:szCs w:val="21"/>
              </w:rPr>
            </w:pPr>
            <w:r>
              <w:rPr>
                <w:rFonts w:hint="eastAsia"/>
                <w:color w:val="000000"/>
                <w:szCs w:val="21"/>
                <w:vertAlign w:val="baseline"/>
                <w:lang w:val="en-US" w:eastAsia="zh-CN"/>
              </w:rPr>
              <w:t>1000g</w:t>
            </w:r>
          </w:p>
        </w:tc>
        <w:tc>
          <w:tcPr>
            <w:tcW w:w="863" w:type="pct"/>
            <w:noWrap w:val="0"/>
            <w:vAlign w:val="center"/>
          </w:tcPr>
          <w:p w14:paraId="2E4D052D">
            <w:pPr>
              <w:snapToGrid w:val="0"/>
              <w:jc w:val="center"/>
              <w:rPr>
                <w:rFonts w:hint="eastAsia"/>
                <w:color w:val="000000"/>
                <w:szCs w:val="21"/>
              </w:rPr>
            </w:pPr>
            <w:r>
              <w:rPr>
                <w:rFonts w:hint="eastAsia"/>
                <w:color w:val="000000"/>
                <w:szCs w:val="21"/>
                <w:vertAlign w:val="baseline"/>
                <w:lang w:val="en-US" w:eastAsia="zh-CN"/>
              </w:rPr>
              <w:t>500g</w:t>
            </w:r>
          </w:p>
        </w:tc>
        <w:tc>
          <w:tcPr>
            <w:tcW w:w="83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500g</w:t>
            </w:r>
          </w:p>
        </w:tc>
      </w:tr>
      <w:tr w14:paraId="3F1BE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1CD1D300">
            <w:pPr>
              <w:snapToGrid w:val="0"/>
              <w:jc w:val="center"/>
              <w:rPr>
                <w:rFonts w:hint="eastAsia"/>
                <w:color w:val="000000"/>
                <w:szCs w:val="21"/>
              </w:rPr>
            </w:pPr>
            <w:r>
              <w:rPr>
                <w:rFonts w:hint="eastAsia"/>
                <w:color w:val="000000"/>
                <w:szCs w:val="21"/>
                <w:vertAlign w:val="baseline"/>
                <w:lang w:val="en-US" w:eastAsia="zh-CN"/>
              </w:rPr>
              <w:t>2</w:t>
            </w:r>
          </w:p>
        </w:tc>
        <w:tc>
          <w:tcPr>
            <w:tcW w:w="2174" w:type="pct"/>
            <w:noWrap w:val="0"/>
            <w:vAlign w:val="center"/>
          </w:tcPr>
          <w:p w14:paraId="2B3A5870">
            <w:pPr>
              <w:snapToGrid w:val="0"/>
              <w:jc w:val="center"/>
              <w:rPr>
                <w:rFonts w:hint="eastAsia"/>
                <w:color w:val="000000"/>
                <w:szCs w:val="21"/>
              </w:rPr>
            </w:pPr>
            <w:r>
              <w:rPr>
                <w:rFonts w:hint="eastAsia"/>
                <w:color w:val="000000"/>
                <w:szCs w:val="21"/>
                <w:vertAlign w:val="baseline"/>
                <w:lang w:val="en-US" w:eastAsia="zh-CN"/>
              </w:rPr>
              <w:t>掺混肥料(BB肥)(GB/T 21633-2020)</w:t>
            </w:r>
          </w:p>
        </w:tc>
        <w:tc>
          <w:tcPr>
            <w:tcW w:w="801" w:type="pct"/>
            <w:noWrap w:val="0"/>
            <w:vAlign w:val="center"/>
          </w:tcPr>
          <w:p w14:paraId="419C719E">
            <w:pPr>
              <w:snapToGrid w:val="0"/>
              <w:jc w:val="center"/>
              <w:rPr>
                <w:rFonts w:hint="eastAsia"/>
                <w:color w:val="000000"/>
                <w:szCs w:val="21"/>
              </w:rPr>
            </w:pPr>
            <w:r>
              <w:rPr>
                <w:rFonts w:hint="eastAsia"/>
                <w:color w:val="000000"/>
                <w:szCs w:val="21"/>
                <w:vertAlign w:val="baseline"/>
                <w:lang w:val="en-US" w:eastAsia="zh-CN"/>
              </w:rPr>
              <w:t>1000g</w:t>
            </w:r>
          </w:p>
        </w:tc>
        <w:tc>
          <w:tcPr>
            <w:tcW w:w="863" w:type="pct"/>
            <w:noWrap w:val="0"/>
            <w:vAlign w:val="center"/>
          </w:tcPr>
          <w:p w14:paraId="1FFFB331">
            <w:pPr>
              <w:snapToGrid w:val="0"/>
              <w:jc w:val="center"/>
              <w:rPr>
                <w:rFonts w:hint="eastAsia"/>
                <w:color w:val="000000"/>
                <w:szCs w:val="21"/>
              </w:rPr>
            </w:pPr>
            <w:r>
              <w:rPr>
                <w:rFonts w:hint="eastAsia"/>
                <w:color w:val="000000"/>
                <w:szCs w:val="21"/>
                <w:vertAlign w:val="baseline"/>
                <w:lang w:val="en-US" w:eastAsia="zh-CN"/>
              </w:rPr>
              <w:t>500g</w:t>
            </w:r>
          </w:p>
        </w:tc>
        <w:tc>
          <w:tcPr>
            <w:tcW w:w="834" w:type="pct"/>
            <w:noWrap w:val="0"/>
            <w:vAlign w:val="center"/>
          </w:tcPr>
          <w:p w14:paraId="30F74DA1">
            <w:pPr>
              <w:snapToGrid w:val="0"/>
              <w:jc w:val="center"/>
              <w:rPr>
                <w:rFonts w:hint="eastAsia"/>
                <w:color w:val="000000"/>
                <w:szCs w:val="21"/>
              </w:rPr>
            </w:pPr>
            <w:r>
              <w:rPr>
                <w:rFonts w:hint="eastAsia"/>
                <w:color w:val="000000"/>
                <w:szCs w:val="21"/>
                <w:vertAlign w:val="baseline"/>
                <w:lang w:val="en-US" w:eastAsia="zh-CN"/>
              </w:rPr>
              <w:t>500g</w:t>
            </w:r>
          </w:p>
        </w:tc>
      </w:tr>
      <w:tr w14:paraId="09403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2ABEA706">
            <w:pPr>
              <w:snapToGrid w:val="0"/>
              <w:jc w:val="center"/>
              <w:rPr>
                <w:rFonts w:hint="eastAsia"/>
                <w:color w:val="000000"/>
                <w:szCs w:val="21"/>
              </w:rPr>
            </w:pPr>
            <w:r>
              <w:rPr>
                <w:rFonts w:hint="eastAsia"/>
                <w:color w:val="000000"/>
                <w:szCs w:val="21"/>
                <w:vertAlign w:val="baseline"/>
                <w:lang w:val="en-US" w:eastAsia="zh-CN"/>
              </w:rPr>
              <w:t>3</w:t>
            </w:r>
          </w:p>
        </w:tc>
        <w:tc>
          <w:tcPr>
            <w:tcW w:w="2174" w:type="pct"/>
            <w:noWrap w:val="0"/>
            <w:vAlign w:val="center"/>
          </w:tcPr>
          <w:p w14:paraId="2AAF61A7">
            <w:pPr>
              <w:snapToGrid w:val="0"/>
              <w:jc w:val="center"/>
              <w:rPr>
                <w:rFonts w:hint="eastAsia"/>
                <w:color w:val="000000"/>
                <w:szCs w:val="21"/>
              </w:rPr>
            </w:pPr>
            <w:r>
              <w:rPr>
                <w:rFonts w:hint="eastAsia"/>
                <w:color w:val="000000"/>
                <w:szCs w:val="21"/>
                <w:vertAlign w:val="baseline"/>
                <w:lang w:val="en-US" w:eastAsia="zh-CN"/>
              </w:rPr>
              <w:t>有机无机复混肥料(GB/T 18877-2020)</w:t>
            </w:r>
          </w:p>
        </w:tc>
        <w:tc>
          <w:tcPr>
            <w:tcW w:w="801" w:type="pct"/>
            <w:noWrap w:val="0"/>
            <w:vAlign w:val="center"/>
          </w:tcPr>
          <w:p w14:paraId="0E777F8A">
            <w:pPr>
              <w:snapToGrid w:val="0"/>
              <w:jc w:val="center"/>
              <w:rPr>
                <w:rFonts w:hint="eastAsia"/>
                <w:color w:val="000000"/>
                <w:szCs w:val="21"/>
              </w:rPr>
            </w:pPr>
            <w:r>
              <w:rPr>
                <w:rFonts w:hint="eastAsia"/>
                <w:color w:val="000000"/>
                <w:szCs w:val="21"/>
                <w:vertAlign w:val="baseline"/>
                <w:lang w:val="en-US" w:eastAsia="zh-CN"/>
              </w:rPr>
              <w:t>1000g</w:t>
            </w:r>
          </w:p>
        </w:tc>
        <w:tc>
          <w:tcPr>
            <w:tcW w:w="863" w:type="pct"/>
            <w:noWrap w:val="0"/>
            <w:vAlign w:val="center"/>
          </w:tcPr>
          <w:p w14:paraId="708FE697">
            <w:pPr>
              <w:snapToGrid w:val="0"/>
              <w:jc w:val="center"/>
              <w:rPr>
                <w:rFonts w:hint="eastAsia"/>
                <w:color w:val="000000"/>
                <w:szCs w:val="21"/>
              </w:rPr>
            </w:pPr>
            <w:r>
              <w:rPr>
                <w:rFonts w:hint="eastAsia"/>
                <w:color w:val="000000"/>
                <w:szCs w:val="21"/>
                <w:vertAlign w:val="baseline"/>
                <w:lang w:val="en-US" w:eastAsia="zh-CN"/>
              </w:rPr>
              <w:t>500g</w:t>
            </w:r>
          </w:p>
        </w:tc>
        <w:tc>
          <w:tcPr>
            <w:tcW w:w="834" w:type="pct"/>
            <w:noWrap w:val="0"/>
            <w:vAlign w:val="center"/>
          </w:tcPr>
          <w:p w14:paraId="76FB3163">
            <w:pPr>
              <w:snapToGrid w:val="0"/>
              <w:jc w:val="center"/>
              <w:rPr>
                <w:rFonts w:hint="eastAsia"/>
                <w:color w:val="000000"/>
                <w:szCs w:val="21"/>
              </w:rPr>
            </w:pPr>
            <w:r>
              <w:rPr>
                <w:rFonts w:hint="eastAsia"/>
                <w:color w:val="000000"/>
                <w:szCs w:val="21"/>
                <w:vertAlign w:val="baseline"/>
                <w:lang w:val="en-US" w:eastAsia="zh-CN"/>
              </w:rPr>
              <w:t>500g</w:t>
            </w:r>
          </w:p>
        </w:tc>
      </w:tr>
    </w:tbl>
    <w:p w14:paraId="1EB57928">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rPr>
        <w:t xml:space="preserve"> </w:t>
      </w:r>
      <w:r>
        <w:rPr>
          <w:rFonts w:hint="eastAsia"/>
          <w:color w:val="000000"/>
          <w:szCs w:val="21"/>
          <w:lang w:val="en-US" w:eastAsia="zh-CN"/>
        </w:rPr>
        <w:t>复合肥料(GB/T 15063-2020)</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总养分</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15063-2020</w:t>
            </w:r>
          </w:p>
        </w:tc>
      </w:tr>
      <w:tr w14:paraId="02D52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B5E8B9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5AEEE1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总氮含量</w:t>
            </w:r>
          </w:p>
        </w:tc>
        <w:tc>
          <w:tcPr>
            <w:tcW w:w="3473" w:type="dxa"/>
            <w:vAlign w:val="center"/>
          </w:tcPr>
          <w:p w14:paraId="6E45E934">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8572-2010</w:t>
            </w:r>
          </w:p>
          <w:p w14:paraId="08C8141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NY/T 1977-2010</w:t>
            </w:r>
          </w:p>
        </w:tc>
      </w:tr>
      <w:tr w14:paraId="5538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555B9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1F290DA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有效磷含量</w:t>
            </w:r>
          </w:p>
        </w:tc>
        <w:tc>
          <w:tcPr>
            <w:tcW w:w="3473" w:type="dxa"/>
            <w:vAlign w:val="center"/>
          </w:tcPr>
          <w:p w14:paraId="47CFD555">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15063-2020</w:t>
            </w:r>
          </w:p>
          <w:p w14:paraId="5B73685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8573-2017</w:t>
            </w:r>
          </w:p>
        </w:tc>
      </w:tr>
      <w:tr w14:paraId="6743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2C860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BB888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水溶性磷占有效磷的百分率</w:t>
            </w:r>
          </w:p>
        </w:tc>
        <w:tc>
          <w:tcPr>
            <w:tcW w:w="3473" w:type="dxa"/>
            <w:vAlign w:val="center"/>
          </w:tcPr>
          <w:p w14:paraId="4E093B1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14:paraId="485FDFB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14:paraId="3D561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404AF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5FF9CC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水分</w:t>
            </w:r>
          </w:p>
        </w:tc>
        <w:tc>
          <w:tcPr>
            <w:tcW w:w="3473" w:type="dxa"/>
            <w:vAlign w:val="center"/>
          </w:tcPr>
          <w:p w14:paraId="127A1F8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8577-2010</w:t>
            </w:r>
          </w:p>
          <w:p w14:paraId="3AA88FD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8576-2010</w:t>
            </w:r>
          </w:p>
        </w:tc>
      </w:tr>
      <w:tr w14:paraId="7D883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48899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046954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粒度</w:t>
            </w:r>
          </w:p>
        </w:tc>
        <w:tc>
          <w:tcPr>
            <w:tcW w:w="3473" w:type="dxa"/>
            <w:vAlign w:val="center"/>
          </w:tcPr>
          <w:p w14:paraId="0DDBDB1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24891-2010</w:t>
            </w:r>
          </w:p>
        </w:tc>
      </w:tr>
      <w:tr w14:paraId="31959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4DA46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55237F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氯离子含量</w:t>
            </w:r>
          </w:p>
        </w:tc>
        <w:tc>
          <w:tcPr>
            <w:tcW w:w="3473" w:type="dxa"/>
            <w:vAlign w:val="center"/>
          </w:tcPr>
          <w:p w14:paraId="18D04C7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24890-2010</w:t>
            </w:r>
          </w:p>
          <w:p w14:paraId="116201B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tc>
      </w:tr>
      <w:tr w14:paraId="7A37E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35AB6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A25FB3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钾含量</w:t>
            </w:r>
          </w:p>
        </w:tc>
        <w:tc>
          <w:tcPr>
            <w:tcW w:w="3473" w:type="dxa"/>
            <w:vAlign w:val="center"/>
          </w:tcPr>
          <w:p w14:paraId="7D20DF2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8574-2024  </w:t>
            </w:r>
          </w:p>
          <w:p w14:paraId="291B37F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2540-2014</w:t>
            </w:r>
          </w:p>
        </w:tc>
      </w:tr>
      <w:tr w14:paraId="79BC7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26DD8B">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0EB388DE">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标识</w:t>
            </w:r>
          </w:p>
        </w:tc>
        <w:tc>
          <w:tcPr>
            <w:tcW w:w="3473" w:type="dxa"/>
            <w:vAlign w:val="center"/>
          </w:tcPr>
          <w:p w14:paraId="2F743C7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14:paraId="4CCF3AA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18382-2021</w:t>
            </w:r>
          </w:p>
        </w:tc>
      </w:tr>
    </w:tbl>
    <w:p w14:paraId="2CC9A3C2">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rPr>
        <w:t xml:space="preserve"> </w:t>
      </w:r>
      <w:r>
        <w:rPr>
          <w:rFonts w:hint="eastAsia"/>
          <w:color w:val="000000"/>
          <w:szCs w:val="21"/>
          <w:lang w:val="en-US" w:eastAsia="zh-CN"/>
        </w:rPr>
        <w:t>掺混肥料(BB肥)(GB/T 21633-2020)</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总养分（N+P2O5+K2O)</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21633-2020</w:t>
            </w:r>
          </w:p>
        </w:tc>
      </w:tr>
      <w:tr w14:paraId="649C6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A47C1B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E46318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氮的质量分数</w:t>
            </w:r>
          </w:p>
        </w:tc>
        <w:tc>
          <w:tcPr>
            <w:tcW w:w="3473" w:type="dxa"/>
            <w:vAlign w:val="center"/>
          </w:tcPr>
          <w:p w14:paraId="2ABB1BC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8572-2010</w:t>
            </w:r>
          </w:p>
          <w:p w14:paraId="20777A6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2542-2014</w:t>
            </w:r>
          </w:p>
        </w:tc>
      </w:tr>
      <w:tr w14:paraId="2DF0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7846D5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C0188C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有效磷含量</w:t>
            </w:r>
          </w:p>
        </w:tc>
        <w:tc>
          <w:tcPr>
            <w:tcW w:w="3473" w:type="dxa"/>
            <w:vAlign w:val="center"/>
          </w:tcPr>
          <w:p w14:paraId="28BB960D">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15063-2020</w:t>
            </w:r>
          </w:p>
          <w:p w14:paraId="435A06F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8573-2017</w:t>
            </w:r>
          </w:p>
        </w:tc>
      </w:tr>
      <w:tr w14:paraId="527E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20FBD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6EBC1D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钾含量</w:t>
            </w:r>
          </w:p>
        </w:tc>
        <w:tc>
          <w:tcPr>
            <w:tcW w:w="3473" w:type="dxa"/>
            <w:vAlign w:val="center"/>
          </w:tcPr>
          <w:p w14:paraId="06A8DCB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8574-2024  </w:t>
            </w:r>
          </w:p>
          <w:p w14:paraId="6F77A9A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2540-2014</w:t>
            </w:r>
          </w:p>
        </w:tc>
      </w:tr>
      <w:tr w14:paraId="17E8F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462AC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4E4BA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水溶性磷占有效磷的百分率</w:t>
            </w:r>
          </w:p>
        </w:tc>
        <w:tc>
          <w:tcPr>
            <w:tcW w:w="3473" w:type="dxa"/>
            <w:vAlign w:val="center"/>
          </w:tcPr>
          <w:p w14:paraId="783BE08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14:paraId="4CF3B5A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14:paraId="71E9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56B53B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D847E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缩二脲的质量分数</w:t>
            </w:r>
          </w:p>
        </w:tc>
        <w:tc>
          <w:tcPr>
            <w:tcW w:w="3473" w:type="dxa"/>
            <w:vAlign w:val="center"/>
          </w:tcPr>
          <w:p w14:paraId="46872CE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22924-2008</w:t>
            </w:r>
          </w:p>
          <w:p w14:paraId="5429942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2441.2-2010</w:t>
            </w:r>
          </w:p>
          <w:p w14:paraId="47FD62D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22924-2024</w:t>
            </w:r>
          </w:p>
        </w:tc>
      </w:tr>
      <w:tr w14:paraId="3915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751BD5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008623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氯离子的质量分数</w:t>
            </w:r>
          </w:p>
        </w:tc>
        <w:tc>
          <w:tcPr>
            <w:tcW w:w="3473" w:type="dxa"/>
            <w:vAlign w:val="center"/>
          </w:tcPr>
          <w:p w14:paraId="0954370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24890-2010</w:t>
            </w:r>
          </w:p>
          <w:p w14:paraId="555E00E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1117-2010</w:t>
            </w:r>
          </w:p>
          <w:p w14:paraId="200D686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18877-2020</w:t>
            </w:r>
          </w:p>
          <w:p w14:paraId="52C4390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21633-2020</w:t>
            </w:r>
          </w:p>
        </w:tc>
      </w:tr>
      <w:tr w14:paraId="3163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41767A">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8DB512D">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标识</w:t>
            </w:r>
          </w:p>
        </w:tc>
        <w:tc>
          <w:tcPr>
            <w:tcW w:w="3473" w:type="dxa"/>
            <w:vAlign w:val="center"/>
          </w:tcPr>
          <w:p w14:paraId="5608B406">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GB/T 21633-2020</w:t>
            </w:r>
            <w:r>
              <w:rPr>
                <w:rFonts w:hint="eastAsia"/>
                <w:color w:val="000000"/>
                <w:szCs w:val="21"/>
                <w:vertAlign w:val="baseline"/>
                <w:lang w:val="en-US" w:eastAsia="zh-CN"/>
              </w:rPr>
              <w:br w:type="textWrapping"/>
            </w:r>
            <w:r>
              <w:rPr>
                <w:rFonts w:hint="eastAsia"/>
                <w:color w:val="000000"/>
                <w:szCs w:val="21"/>
                <w:vertAlign w:val="baseline"/>
                <w:lang w:val="en-US" w:eastAsia="zh-CN"/>
              </w:rPr>
              <w:t>GB 18382-2021</w:t>
            </w:r>
          </w:p>
        </w:tc>
      </w:tr>
    </w:tbl>
    <w:p w14:paraId="492643FA">
      <w:pPr>
        <w:snapToGrid w:val="0"/>
        <w:spacing w:line="440" w:lineRule="exact"/>
        <w:ind w:firstLine="420" w:firstLineChars="200"/>
        <w:rPr>
          <w:color w:val="000000"/>
          <w:szCs w:val="21"/>
        </w:rPr>
      </w:pPr>
    </w:p>
    <w:p w14:paraId="1FFCF7FA">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4</w:t>
      </w:r>
      <w:r>
        <w:rPr>
          <w:rFonts w:hint="eastAsia"/>
          <w:color w:val="000000"/>
          <w:szCs w:val="21"/>
        </w:rPr>
        <w:t xml:space="preserve"> </w:t>
      </w:r>
      <w:r>
        <w:rPr>
          <w:rFonts w:hint="eastAsia"/>
          <w:color w:val="000000"/>
          <w:szCs w:val="21"/>
          <w:lang w:val="en-US" w:eastAsia="zh-CN"/>
        </w:rPr>
        <w:t>有机无机复混肥料(GB/T 18877-2020)</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233E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39" w:type="dxa"/>
            <w:vAlign w:val="center"/>
          </w:tcPr>
          <w:p w14:paraId="7AA8FD1F">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4A2F5B3">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D156E77">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2585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39" w:type="dxa"/>
            <w:vAlign w:val="center"/>
          </w:tcPr>
          <w:p w14:paraId="596F38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53BC65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总氮的质量分数</w:t>
            </w:r>
          </w:p>
        </w:tc>
        <w:tc>
          <w:tcPr>
            <w:tcW w:w="3473" w:type="dxa"/>
            <w:vAlign w:val="center"/>
          </w:tcPr>
          <w:p w14:paraId="2DCDDD4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17767.1-2008</w:t>
            </w:r>
          </w:p>
        </w:tc>
      </w:tr>
      <w:tr w14:paraId="2FE3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AAA557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52135F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有效五氧化二磷的质量分数</w:t>
            </w:r>
          </w:p>
        </w:tc>
        <w:tc>
          <w:tcPr>
            <w:tcW w:w="3473" w:type="dxa"/>
            <w:vAlign w:val="center"/>
          </w:tcPr>
          <w:p w14:paraId="70B69B9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14:paraId="02A67FA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14:paraId="7863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E9B2AD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358F8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总氧化钾的质量分数</w:t>
            </w:r>
          </w:p>
        </w:tc>
        <w:tc>
          <w:tcPr>
            <w:tcW w:w="3473" w:type="dxa"/>
            <w:vAlign w:val="center"/>
          </w:tcPr>
          <w:p w14:paraId="7BF0891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17767.3-2010</w:t>
            </w:r>
          </w:p>
        </w:tc>
      </w:tr>
      <w:tr w14:paraId="0AEAA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AC697C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C55B4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粒度</w:t>
            </w:r>
          </w:p>
        </w:tc>
        <w:tc>
          <w:tcPr>
            <w:tcW w:w="3473" w:type="dxa"/>
            <w:vAlign w:val="center"/>
          </w:tcPr>
          <w:p w14:paraId="6F08A4A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24891-2010</w:t>
            </w:r>
          </w:p>
        </w:tc>
      </w:tr>
      <w:tr w14:paraId="7D29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17B634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DF815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氯离子质量分数</w:t>
            </w:r>
          </w:p>
        </w:tc>
        <w:tc>
          <w:tcPr>
            <w:tcW w:w="3473" w:type="dxa"/>
            <w:vAlign w:val="center"/>
          </w:tcPr>
          <w:p w14:paraId="0B95E96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24890-2010</w:t>
            </w:r>
          </w:p>
          <w:p w14:paraId="36E7B63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1117-2010</w:t>
            </w:r>
          </w:p>
        </w:tc>
      </w:tr>
      <w:tr w14:paraId="6B6CF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F4CDA9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5FA6E0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酸碱度pH</w:t>
            </w:r>
          </w:p>
        </w:tc>
        <w:tc>
          <w:tcPr>
            <w:tcW w:w="3473" w:type="dxa"/>
            <w:vAlign w:val="center"/>
          </w:tcPr>
          <w:p w14:paraId="514554C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18877-2020</w:t>
            </w:r>
          </w:p>
        </w:tc>
      </w:tr>
      <w:tr w14:paraId="01A1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AE272BA">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3AC559EE">
            <w:pPr>
              <w:keepNext w:val="0"/>
              <w:keepLines w:val="0"/>
              <w:widowControl/>
              <w:suppressLineNumbers w:val="0"/>
              <w:jc w:val="center"/>
              <w:textAlignment w:val="center"/>
              <w:rPr>
                <w:rFonts w:hint="eastAsia"/>
                <w:color w:val="000000"/>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标识</w:t>
            </w:r>
          </w:p>
        </w:tc>
        <w:tc>
          <w:tcPr>
            <w:tcW w:w="3473" w:type="dxa"/>
            <w:vAlign w:val="center"/>
          </w:tcPr>
          <w:p w14:paraId="05A7EB6A">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GB/T 18877-2020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GB 18382-2021</w:t>
            </w:r>
          </w:p>
        </w:tc>
      </w:tr>
    </w:tbl>
    <w:p w14:paraId="58A52683">
      <w:pPr>
        <w:snapToGrid w:val="0"/>
        <w:spacing w:line="440" w:lineRule="exact"/>
        <w:ind w:firstLine="420" w:firstLineChars="200"/>
        <w:rPr>
          <w:color w:val="000000"/>
          <w:szCs w:val="21"/>
        </w:rPr>
      </w:pPr>
    </w:p>
    <w:p w14:paraId="4C5A18C2">
      <w:pPr>
        <w:tabs>
          <w:tab w:val="left" w:pos="1701"/>
          <w:tab w:val="left" w:pos="2268"/>
        </w:tabs>
        <w:snapToGrid w:val="0"/>
        <w:spacing w:line="440" w:lineRule="exact"/>
        <w:jc w:val="center"/>
        <w:rPr>
          <w:rFonts w:hint="eastAsia" w:ascii="宋体" w:hAnsi="宋体"/>
          <w:color w:val="000000"/>
          <w:szCs w:val="21"/>
        </w:rPr>
      </w:pPr>
    </w:p>
    <w:p w14:paraId="70E34EDA">
      <w:pPr>
        <w:snapToGrid w:val="0"/>
        <w:spacing w:line="440" w:lineRule="exact"/>
        <w:ind w:firstLine="420" w:firstLineChars="200"/>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w:t>
      </w:r>
      <w:bookmarkStart w:id="0" w:name="_GoBack"/>
      <w:bookmarkEnd w:id="0"/>
      <w:r>
        <w:rPr>
          <w:color w:val="000000"/>
          <w:szCs w:val="21"/>
        </w:rPr>
        <w:t>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15063-2020 复合肥料</w:t>
      </w:r>
    </w:p>
    <w:p w14:paraId="4E84BF5E">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21633-2020 掺混肥料(BB肥)</w:t>
      </w:r>
    </w:p>
    <w:p w14:paraId="1A86276B">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18877-2020 有机无机复混肥料</w:t>
      </w:r>
    </w:p>
    <w:p w14:paraId="268F0135">
      <w:pPr>
        <w:snapToGrid w:val="0"/>
        <w:spacing w:line="440" w:lineRule="exact"/>
        <w:ind w:firstLine="420" w:firstLineChars="0"/>
        <w:rPr>
          <w:rFonts w:hint="default"/>
          <w:color w:val="000000"/>
          <w:szCs w:val="21"/>
          <w:lang w:val="en-US" w:eastAsia="zh-CN"/>
        </w:rPr>
      </w:pPr>
      <w:r>
        <w:rPr>
          <w:rFonts w:hint="eastAsia"/>
          <w:color w:val="000000"/>
          <w:szCs w:val="21"/>
          <w:lang w:val="en-US" w:eastAsia="zh-CN"/>
        </w:rPr>
        <w:t>GB 38400-2019 肥料中有毒有害物质的限量要求</w:t>
      </w:r>
    </w:p>
    <w:p w14:paraId="66A7F26E">
      <w:pPr>
        <w:snapToGrid w:val="0"/>
        <w:spacing w:line="440" w:lineRule="exact"/>
        <w:ind w:firstLine="420" w:firstLineChars="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5E7D996F">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5E9D77-1C92-4CCD-A20B-7333E7C223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F1FD6A1F-A6FD-482F-806D-8B6AD8290D5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4333FF8"/>
    <w:rsid w:val="06235ED6"/>
    <w:rsid w:val="09F2225F"/>
    <w:rsid w:val="0D19796D"/>
    <w:rsid w:val="0F264E85"/>
    <w:rsid w:val="1447675E"/>
    <w:rsid w:val="17902A90"/>
    <w:rsid w:val="1B403722"/>
    <w:rsid w:val="1BBE4697"/>
    <w:rsid w:val="1CF163A7"/>
    <w:rsid w:val="21EE1107"/>
    <w:rsid w:val="25DF3AF4"/>
    <w:rsid w:val="27701672"/>
    <w:rsid w:val="2ACD3FAF"/>
    <w:rsid w:val="2AFF7B61"/>
    <w:rsid w:val="348F3736"/>
    <w:rsid w:val="369B4675"/>
    <w:rsid w:val="3AA82343"/>
    <w:rsid w:val="3C9E39FD"/>
    <w:rsid w:val="41581892"/>
    <w:rsid w:val="44937F9B"/>
    <w:rsid w:val="4721404E"/>
    <w:rsid w:val="49B04D70"/>
    <w:rsid w:val="4A995B9B"/>
    <w:rsid w:val="507908EE"/>
    <w:rsid w:val="522E2F34"/>
    <w:rsid w:val="530F7A0D"/>
    <w:rsid w:val="53461CE4"/>
    <w:rsid w:val="5551190C"/>
    <w:rsid w:val="57C2283E"/>
    <w:rsid w:val="5A567682"/>
    <w:rsid w:val="5C0748DB"/>
    <w:rsid w:val="5CA67E8B"/>
    <w:rsid w:val="5D514A7B"/>
    <w:rsid w:val="5E4E4E2C"/>
    <w:rsid w:val="5EA66A16"/>
    <w:rsid w:val="5F3F4774"/>
    <w:rsid w:val="625C73EB"/>
    <w:rsid w:val="650669CB"/>
    <w:rsid w:val="660364FC"/>
    <w:rsid w:val="684A6664"/>
    <w:rsid w:val="6A7E6BAB"/>
    <w:rsid w:val="6A811342"/>
    <w:rsid w:val="6B8D6C10"/>
    <w:rsid w:val="6DA7451F"/>
    <w:rsid w:val="6F3F1B91"/>
    <w:rsid w:val="702B4DF4"/>
    <w:rsid w:val="72321ACB"/>
    <w:rsid w:val="75B01AD0"/>
    <w:rsid w:val="769D3F55"/>
    <w:rsid w:val="78547D9F"/>
    <w:rsid w:val="791E4FA3"/>
    <w:rsid w:val="7B4B4879"/>
    <w:rsid w:val="7B8C6B3B"/>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914</Words>
  <Characters>1544</Characters>
  <Lines>0</Lines>
  <Paragraphs>0</Paragraphs>
  <TotalTime>2</TotalTime>
  <ScaleCrop>false</ScaleCrop>
  <LinksUpToDate>false</LinksUpToDate>
  <CharactersWithSpaces>1607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2026-03-19T08:48:25Z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85CC9A82ED83404D989E7C554258BD8E_13</vt:lpwstr>
  </property>
  <property fmtid="{D5CDD505-2E9C-101B-9397-08002B2CF9AE}" pid="4" name="KSOTemplateDocerSaveRecord">
    <vt:lpwstr>eyJoZGlkIjoiNWNkZGY4NTNkYTNlZDAyNmJkNzQwY2RmNmEzMmE2NDAiLCJ1c2VySWQiOiIxNDQ1NjU1MDYxIn0=</vt:lpwstr>
  </property>
</Properties>
</file>